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29564"/>
        <w:docPartObj>
          <w:docPartGallery w:val="Cover Pages"/>
          <w:docPartUnique/>
        </w:docPartObj>
      </w:sdtPr>
      <w:sdtEndPr>
        <w:rPr>
          <w:i/>
        </w:rPr>
      </w:sdtEndPr>
      <w:sdtContent>
        <w:p w:rsidR="00891351" w:rsidRDefault="009A66AE" w:rsidP="00891351">
          <w:pPr>
            <w:pBdr>
              <w:bottom w:val="single" w:sz="6" w:space="1" w:color="auto"/>
            </w:pBdr>
            <w:jc w:val="right"/>
          </w:pPr>
          <w:r>
            <w:rPr>
              <w:noProof/>
              <w:lang w:bidi="ar-SA"/>
            </w:rPr>
            <w:drawing>
              <wp:inline distT="0" distB="0" distL="0" distR="0">
                <wp:extent cx="2506228" cy="895081"/>
                <wp:effectExtent l="0" t="0" r="8890" b="635"/>
                <wp:docPr id="2" name="Picture 2"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ic-Logo-Clear-Space.png"/>
                        <pic:cNvPicPr/>
                      </pic:nvPicPr>
                      <pic:blipFill>
                        <a:blip r:embed="rId8">
                          <a:extLst>
                            <a:ext uri="{28A0092B-C50C-407E-A947-70E740481C1C}">
                              <a14:useLocalDpi xmlns:a14="http://schemas.microsoft.com/office/drawing/2010/main" val="0"/>
                            </a:ext>
                          </a:extLst>
                        </a:blip>
                        <a:stretch>
                          <a:fillRect/>
                        </a:stretch>
                      </pic:blipFill>
                      <pic:spPr>
                        <a:xfrm>
                          <a:off x="0" y="0"/>
                          <a:ext cx="2506228" cy="895081"/>
                        </a:xfrm>
                        <a:prstGeom prst="rect">
                          <a:avLst/>
                        </a:prstGeom>
                      </pic:spPr>
                    </pic:pic>
                  </a:graphicData>
                </a:graphic>
              </wp:inline>
            </w:drawing>
          </w:r>
        </w:p>
        <w:p w:rsidR="00891351" w:rsidRPr="00891351" w:rsidRDefault="00891351" w:rsidP="00891351">
          <w:pPr>
            <w:pBdr>
              <w:bottom w:val="single" w:sz="6" w:space="1" w:color="auto"/>
            </w:pBdr>
            <w:jc w:val="right"/>
            <w:rPr>
              <w:i/>
            </w:rPr>
          </w:pPr>
          <w:r w:rsidRPr="00891351">
            <w:rPr>
              <w:i/>
            </w:rPr>
            <w:t>Your Policy, Training, and Technical Resource</w:t>
          </w:r>
        </w:p>
        <w:p w:rsidR="00891351" w:rsidRDefault="00891351" w:rsidP="00891351">
          <w:pPr>
            <w:pBdr>
              <w:bottom w:val="single" w:sz="6" w:space="1" w:color="auto"/>
            </w:pBdr>
            <w:jc w:val="right"/>
          </w:pPr>
        </w:p>
        <w:p w:rsidR="00C61688" w:rsidRPr="001E0642" w:rsidRDefault="002F071E" w:rsidP="00463AD5">
          <w:pPr>
            <w:pStyle w:val="Heading1"/>
            <w:rPr>
              <w:sz w:val="56"/>
            </w:rPr>
          </w:pPr>
          <w:r>
            <w:rPr>
              <w:sz w:val="56"/>
            </w:rPr>
            <w:t>2017</w:t>
          </w:r>
          <w:r w:rsidR="001E0642" w:rsidRPr="001E0642">
            <w:rPr>
              <w:sz w:val="56"/>
            </w:rPr>
            <w:t xml:space="preserve"> Annual Report</w:t>
          </w:r>
        </w:p>
        <w:p w:rsidR="005A5A73" w:rsidRPr="005A5A73" w:rsidRDefault="005A5A73" w:rsidP="001E0642">
          <w:pPr>
            <w:pBdr>
              <w:bottom w:val="single" w:sz="4" w:space="15" w:color="auto"/>
            </w:pBdr>
            <w:rPr>
              <w:color w:val="003865" w:themeColor="accent1"/>
              <w:sz w:val="28"/>
              <w:szCs w:val="28"/>
            </w:rPr>
          </w:pPr>
          <w:bookmarkStart w:id="0" w:name="_Toc477437899"/>
        </w:p>
        <w:bookmarkEnd w:id="0"/>
        <w:p w:rsidR="00074A30" w:rsidRPr="00074A30" w:rsidRDefault="00074A30" w:rsidP="00074A30">
          <w:pPr>
            <w:sectPr w:rsidR="00074A30" w:rsidRPr="00074A30" w:rsidSect="00B545E5">
              <w:headerReference w:type="even" r:id="rId9"/>
              <w:headerReference w:type="default" r:id="rId10"/>
              <w:footerReference w:type="even" r:id="rId11"/>
              <w:footerReference w:type="default" r:id="rId12"/>
              <w:headerReference w:type="first" r:id="rId13"/>
              <w:footerReference w:type="first" r:id="rId14"/>
              <w:pgSz w:w="12240" w:h="15840" w:code="1"/>
              <w:pgMar w:top="1728" w:right="1080" w:bottom="1440" w:left="1080" w:header="0" w:footer="504" w:gutter="0"/>
              <w:cols w:space="720"/>
              <w:vAlign w:val="center"/>
              <w:titlePg/>
              <w:docGrid w:linePitch="326"/>
            </w:sectPr>
          </w:pPr>
        </w:p>
        <w:p w:rsidR="00F6052E" w:rsidRPr="00F6052E" w:rsidRDefault="001E0642" w:rsidP="00074A30">
          <w:pPr>
            <w:pStyle w:val="Heading2"/>
            <w:spacing w:before="0"/>
          </w:pPr>
          <w:r>
            <w:lastRenderedPageBreak/>
            <w:t>About the Agency</w:t>
          </w:r>
        </w:p>
        <w:p w:rsidR="00ED3219" w:rsidRDefault="001E0642" w:rsidP="001E0642">
          <w:r>
            <w:t>The Minnesota Council on Disability (MCD) is a state agency created</w:t>
          </w:r>
          <w:r w:rsidR="00C92833">
            <w:t xml:space="preserve"> in 1973</w:t>
          </w:r>
          <w:r>
            <w:t xml:space="preserve"> by the Minnesota Legislature tasked to advise the Governor, the State Legislature, state agencies, and members of the public on disability issues. </w:t>
          </w:r>
          <w:r w:rsidR="00492A77">
            <w:t xml:space="preserve">The Council operates through a small staff and is governed by a council appointed by the governor. </w:t>
          </w:r>
          <w:r w:rsidR="00533E60">
            <w:t>MCD</w:t>
          </w:r>
          <w:r w:rsidR="00ED3219">
            <w:t xml:space="preserve"> provide</w:t>
          </w:r>
          <w:r w:rsidR="00533E60">
            <w:t>s</w:t>
          </w:r>
          <w:r w:rsidR="00ED3219">
            <w:t xml:space="preserve"> leadership to empower and strengthen the rights of Minnesotans with disabilities. </w:t>
          </w:r>
          <w:r w:rsidR="00533E60">
            <w:t>Our Council</w:t>
          </w:r>
          <w:r w:rsidR="00ED3219">
            <w:t xml:space="preserve"> collaborate</w:t>
          </w:r>
          <w:r w:rsidR="00533E60">
            <w:t>s</w:t>
          </w:r>
          <w:r w:rsidR="00ED3219">
            <w:t xml:space="preserve"> with the public and private sectors as a policy, training and technical resource advisor.</w:t>
          </w:r>
        </w:p>
        <w:p w:rsidR="00ED3219" w:rsidRDefault="00ED3219" w:rsidP="00ED3219">
          <w:pPr>
            <w:pStyle w:val="Heading2"/>
            <w:spacing w:before="0"/>
          </w:pPr>
          <w:r>
            <w:t xml:space="preserve">Our </w:t>
          </w:r>
          <w:r w:rsidR="00533E60">
            <w:t>Work</w:t>
          </w:r>
        </w:p>
        <w:p w:rsidR="00ED3219" w:rsidRDefault="00ED3219" w:rsidP="001E0642">
          <w:r>
            <w:t>The M</w:t>
          </w:r>
          <w:r w:rsidR="00533E60">
            <w:t xml:space="preserve">innesota Council on Disability </w:t>
          </w:r>
          <w:r>
            <w:t xml:space="preserve">analyzes legislative initiatives and advises how proposed policies will impact the disability community. </w:t>
          </w:r>
          <w:r w:rsidR="00533E60">
            <w:t>The</w:t>
          </w:r>
          <w:r>
            <w:t xml:space="preserve"> goal is to ensure that policymakers understand the effects of their decisions on</w:t>
          </w:r>
          <w:r w:rsidR="00245731">
            <w:t xml:space="preserve"> Minnesotans with disabilities.</w:t>
          </w:r>
        </w:p>
        <w:p w:rsidR="00533E60" w:rsidRDefault="00533E60" w:rsidP="001E0642">
          <w:r>
            <w:t>MCD</w:t>
          </w:r>
          <w:r w:rsidR="001E0642">
            <w:t xml:space="preserve"> examine</w:t>
          </w:r>
          <w:r>
            <w:t>s</w:t>
          </w:r>
          <w:r w:rsidR="001E0642">
            <w:t xml:space="preserve"> issues and disseminate</w:t>
          </w:r>
          <w:r>
            <w:t>s</w:t>
          </w:r>
          <w:r w:rsidR="001E0642">
            <w:t xml:space="preserve"> information fairly and objectively, promoting self-sufficiency and choice for all individuals. </w:t>
          </w:r>
          <w:r>
            <w:t>The</w:t>
          </w:r>
          <w:r w:rsidR="001E0642">
            <w:t xml:space="preserve"> work</w:t>
          </w:r>
          <w:r>
            <w:t xml:space="preserve"> of the Council</w:t>
          </w:r>
          <w:r w:rsidR="001E0642">
            <w:t xml:space="preserve"> strives to empower Minnesotans, so that </w:t>
          </w:r>
          <w:r>
            <w:t>opportunity expands</w:t>
          </w:r>
          <w:r w:rsidR="001E0642">
            <w:t xml:space="preserve"> </w:t>
          </w:r>
          <w:r>
            <w:t>throughout</w:t>
          </w:r>
          <w:r w:rsidR="001E0642">
            <w:t xml:space="preserve"> the state and </w:t>
          </w:r>
          <w:r>
            <w:t>th</w:t>
          </w:r>
          <w:r w:rsidR="001E0642">
            <w:t>e quality of life</w:t>
          </w:r>
          <w:r>
            <w:t xml:space="preserve"> is improved</w:t>
          </w:r>
          <w:r w:rsidR="001E0642">
            <w:t xml:space="preserve"> for all. </w:t>
          </w:r>
          <w:r>
            <w:t xml:space="preserve">MCD provides customized training on a variety of issues and serves </w:t>
          </w:r>
          <w:r w:rsidR="00C92833">
            <w:t>as</w:t>
          </w:r>
          <w:r>
            <w:t xml:space="preserve"> a technical expert on disability matters.</w:t>
          </w:r>
        </w:p>
        <w:p w:rsidR="00533E60" w:rsidRDefault="00533E60" w:rsidP="001E0642">
          <w:r>
            <w:t>The Council works on a wide breadth of issues ranging from</w:t>
          </w:r>
          <w:r w:rsidR="00C92833">
            <w:t xml:space="preserve"> the</w:t>
          </w:r>
          <w:r>
            <w:t xml:space="preserve"> </w:t>
          </w:r>
          <w:r w:rsidR="00C92833">
            <w:t xml:space="preserve">Americans with Disabilities Act </w:t>
          </w:r>
          <w:r w:rsidR="002608EC">
            <w:t>(ADA)</w:t>
          </w:r>
          <w:r w:rsidR="00C92833">
            <w:t>, building access, digital and electronic access, access to culture and recreation, emergency preparedness, transportation matters, employment rights, and much more</w:t>
          </w:r>
          <w:r w:rsidR="00492A77">
            <w:t xml:space="preserve">. Where disability is involved, the Council </w:t>
          </w:r>
          <w:r w:rsidR="00C92833">
            <w:t>is</w:t>
          </w:r>
          <w:r w:rsidR="00245731">
            <w:t xml:space="preserve"> a resource for all.</w:t>
          </w:r>
        </w:p>
        <w:p w:rsidR="00074A30" w:rsidRDefault="00492A77" w:rsidP="001E0642">
          <w:pPr>
            <w:rPr>
              <w:rStyle w:val="Emphasis"/>
            </w:rPr>
            <w:sectPr w:rsidR="00074A30" w:rsidSect="00074A30">
              <w:pgSz w:w="12240" w:h="15840" w:code="1"/>
              <w:pgMar w:top="1728" w:right="1080" w:bottom="1440" w:left="1080" w:header="0" w:footer="504" w:gutter="0"/>
              <w:cols w:space="720"/>
              <w:vAlign w:val="center"/>
              <w:titlePg/>
              <w:docGrid w:linePitch="326"/>
            </w:sectPr>
          </w:pPr>
          <w:r>
            <w:t>The Minnesota Council on Disability</w:t>
          </w:r>
          <w:r w:rsidR="001E0642">
            <w:t xml:space="preserve"> work</w:t>
          </w:r>
          <w:r>
            <w:t>s</w:t>
          </w:r>
          <w:r w:rsidR="001E0642">
            <w:t xml:space="preserve"> towards living in a world </w:t>
          </w:r>
          <w:r>
            <w:t>free of</w:t>
          </w:r>
          <w:r w:rsidR="001E0642">
            <w:t xml:space="preserve"> barriers. Where there are no barriers, there are </w:t>
          </w:r>
          <w:r w:rsidR="00C92833">
            <w:t>fewer</w:t>
          </w:r>
          <w:r w:rsidR="001E0642">
            <w:t xml:space="preserve"> limitations.</w:t>
          </w:r>
        </w:p>
        <w:p w:rsidR="00E41BD2" w:rsidRPr="00BA23A4" w:rsidRDefault="000663D6" w:rsidP="000261E8">
          <w:pPr>
            <w:pStyle w:val="Heading2"/>
          </w:pPr>
          <w:r>
            <w:lastRenderedPageBreak/>
            <w:t>Public Policy</w:t>
          </w:r>
        </w:p>
        <w:p w:rsidR="005666F2" w:rsidRPr="0034728D" w:rsidRDefault="000663D6" w:rsidP="0034728D">
          <w:r>
            <w:t>The Minnesota Council on Disability made major strides in 2016. This section outlines</w:t>
          </w:r>
          <w:r w:rsidR="00C92833">
            <w:t xml:space="preserve"> legislative</w:t>
          </w:r>
          <w:r>
            <w:t xml:space="preserve"> issu</w:t>
          </w:r>
          <w:r w:rsidR="00245731">
            <w:t>es that the Council worked on.</w:t>
          </w:r>
        </w:p>
        <w:p w:rsidR="007F7097" w:rsidRPr="00D73E35" w:rsidRDefault="000663D6" w:rsidP="00C356DB">
          <w:pPr>
            <w:pStyle w:val="Heading3"/>
            <w:rPr>
              <w:sz w:val="32"/>
            </w:rPr>
          </w:pPr>
          <w:r w:rsidRPr="00D73E35">
            <w:rPr>
              <w:sz w:val="32"/>
            </w:rPr>
            <w:t>Legislative Preview</w:t>
          </w:r>
        </w:p>
        <w:p w:rsidR="00D73E35" w:rsidRPr="00D73E35" w:rsidRDefault="00D73E35" w:rsidP="00245731">
          <w:pPr>
            <w:pStyle w:val="Heading4"/>
          </w:pPr>
          <w:r w:rsidRPr="00D73E35">
            <w:t>2016 Legislative Forum</w:t>
          </w:r>
        </w:p>
        <w:p w:rsidR="00C92833" w:rsidRDefault="002608EC" w:rsidP="00C92833">
          <w:r>
            <w:t>In December, the Minnesota</w:t>
          </w:r>
          <w:r w:rsidR="00C92833">
            <w:t xml:space="preserve"> Council on Disability convened the annual </w:t>
          </w:r>
          <w:r w:rsidR="00C92833" w:rsidRPr="00C04200">
            <w:rPr>
              <w:rStyle w:val="IntenseEmphasis"/>
            </w:rPr>
            <w:t>Legislative Forum</w:t>
          </w:r>
          <w:r w:rsidR="00C92833" w:rsidRPr="00C04200">
            <w:t>,</w:t>
          </w:r>
          <w:r w:rsidR="00C92833">
            <w:t xml:space="preserve"> a community discussion between legislators and their constituents. A wide range of issues w</w:t>
          </w:r>
          <w:r>
            <w:t>ere discussed, such as autonomou</w:t>
          </w:r>
          <w:r w:rsidR="00C92833">
            <w:t>s vehicles, Medical Assistance spend</w:t>
          </w:r>
          <w:r>
            <w:t xml:space="preserve"> </w:t>
          </w:r>
          <w:r w:rsidR="00C92833">
            <w:t xml:space="preserve">down reform, </w:t>
          </w:r>
          <w:r>
            <w:t>Olmstead Reform, and the Personal</w:t>
          </w:r>
          <w:r w:rsidR="00C92833">
            <w:t xml:space="preserve"> Care Assistant (PCA) workforce shortage. Senator Jim Abeler, incoming chair of the Senate Health and Human Services Committee, and Claire Wilson, Department of Human Services Assistant Commissioner charged to lead the Community Supports Administration, shared their perspective on the up-coming session.</w:t>
          </w:r>
        </w:p>
        <w:p w:rsidR="00910BAC" w:rsidRPr="000663D6" w:rsidRDefault="00910BAC" w:rsidP="00245731">
          <w:pPr>
            <w:pStyle w:val="Heading4"/>
          </w:pPr>
          <w:r>
            <w:t>2016 Legislative Successes</w:t>
          </w:r>
        </w:p>
        <w:p w:rsidR="00910BAC" w:rsidRDefault="00910BAC" w:rsidP="00C04200">
          <w:pPr>
            <w:pStyle w:val="Heading5"/>
          </w:pPr>
          <w:r>
            <w:t>Barrier removal</w:t>
          </w:r>
        </w:p>
        <w:p w:rsidR="00910BAC" w:rsidRDefault="00910BAC" w:rsidP="00C04200">
          <w:r w:rsidRPr="00910BAC">
            <w:t>Working in tandem with the Chamber of Commerce and numerou</w:t>
          </w:r>
          <w:r>
            <w:t>s disability advocacy groups, MC</w:t>
          </w:r>
          <w:r w:rsidRPr="00910BAC">
            <w:t>D successfully ushered through the passage of new legislation surrounding barrier removal for ADA compliance. The law shifts the focus to finding proactive, collaborative solutions to help small business owners meet their obligations under the A</w:t>
          </w:r>
          <w:r>
            <w:t xml:space="preserve">mericans with </w:t>
          </w:r>
          <w:r w:rsidRPr="00910BAC">
            <w:t>D</w:t>
          </w:r>
          <w:r>
            <w:t xml:space="preserve">isabilities </w:t>
          </w:r>
          <w:r w:rsidRPr="00910BAC">
            <w:t>A</w:t>
          </w:r>
          <w:r>
            <w:t>ct</w:t>
          </w:r>
          <w:r w:rsidRPr="00910BAC">
            <w:t>. The law also set guidelines for demand letters to ensure focus</w:t>
          </w:r>
          <w:r w:rsidR="00C92833">
            <w:t xml:space="preserve"> is</w:t>
          </w:r>
          <w:r w:rsidRPr="00910BAC">
            <w:t xml:space="preserve"> on barrier removal and do not deprive business owners of resources while leaving barriers in place.</w:t>
          </w:r>
        </w:p>
        <w:p w:rsidR="00910BAC" w:rsidRDefault="00910BAC" w:rsidP="00C04200">
          <w:pPr>
            <w:pStyle w:val="Heading5"/>
          </w:pPr>
          <w:r>
            <w:t>Funds for ADA outreach</w:t>
          </w:r>
        </w:p>
        <w:p w:rsidR="00910BAC" w:rsidRDefault="00910BAC" w:rsidP="00C04200">
          <w:r w:rsidRPr="00910BAC">
            <w:t>In conjunction with the</w:t>
          </w:r>
          <w:r>
            <w:t xml:space="preserve"> barrier removal legislation, MC</w:t>
          </w:r>
          <w:r w:rsidRPr="00910BAC">
            <w:t>D received funds to partner with the Department of Labor and Industry to engage and educate business owners about meeting their obligations under the Americans with Disabilities Act. The funds have been</w:t>
          </w:r>
          <w:r w:rsidR="00C92833">
            <w:t xml:space="preserve"> successfully</w:t>
          </w:r>
          <w:r w:rsidRPr="00910BAC">
            <w:t xml:space="preserve"> directed towards conducting </w:t>
          </w:r>
          <w:r>
            <w:t>trainings around the State to equip</w:t>
          </w:r>
          <w:r w:rsidRPr="00910BAC">
            <w:t xml:space="preserve"> business owners with the expertise necessary to provide greater access for customers with disabilities.</w:t>
          </w:r>
        </w:p>
        <w:p w:rsidR="00910BAC" w:rsidRDefault="00910BAC" w:rsidP="00C04200">
          <w:pPr>
            <w:pStyle w:val="Heading5"/>
          </w:pPr>
          <w:r>
            <w:t>Disability initiatives funding</w:t>
          </w:r>
        </w:p>
        <w:p w:rsidR="00910BAC" w:rsidRDefault="00910BAC" w:rsidP="00C04200">
          <w:r w:rsidRPr="00910BAC">
            <w:t xml:space="preserve">Several </w:t>
          </w:r>
          <w:r>
            <w:t>Minnesota agencies that serve people with disabilities</w:t>
          </w:r>
          <w:r w:rsidRPr="00910BAC">
            <w:t xml:space="preserve"> received </w:t>
          </w:r>
          <w:r>
            <w:t xml:space="preserve">funds from the Legislature to carry </w:t>
          </w:r>
          <w:r w:rsidR="00C92833">
            <w:t>out important disability related</w:t>
          </w:r>
          <w:r>
            <w:t xml:space="preserve"> objectives</w:t>
          </w:r>
          <w:r w:rsidR="002608EC">
            <w:t>. The Olmstead Implementation O</w:t>
          </w:r>
          <w:r w:rsidRPr="00910BAC">
            <w:t xml:space="preserve">ffice </w:t>
          </w:r>
          <w:r>
            <w:t>was granted</w:t>
          </w:r>
          <w:r w:rsidRPr="00910BAC">
            <w:t xml:space="preserve"> </w:t>
          </w:r>
          <w:r w:rsidRPr="00910BAC">
            <w:lastRenderedPageBreak/>
            <w:t xml:space="preserve">$148,000 for capacity building and community engagement. State Services for the Blind and the Centers for Independent living received $1,000,000, with an additional $500,000 apiece added to their respective base appropriation going forward. </w:t>
          </w:r>
          <w:r w:rsidR="0059658B">
            <w:t>Additionally</w:t>
          </w:r>
          <w:r w:rsidRPr="00910BAC">
            <w:t>, the Legislature set aside $2.5 million in grant funding for day training and habilitation services who work to align with Minnesota’s Olmstead Plan.</w:t>
          </w:r>
        </w:p>
        <w:p w:rsidR="00D73E35" w:rsidRPr="000663D6" w:rsidRDefault="00D73E35" w:rsidP="00245731">
          <w:pPr>
            <w:pStyle w:val="Heading4"/>
          </w:pPr>
          <w:r>
            <w:t>2017 Legislative Platform</w:t>
          </w:r>
        </w:p>
        <w:p w:rsidR="00D73E35" w:rsidRDefault="00D73E35" w:rsidP="00C04200">
          <w:pPr>
            <w:pStyle w:val="Heading5"/>
          </w:pPr>
          <w:r>
            <w:t>Funding for accessibility outreach and engagement</w:t>
          </w:r>
        </w:p>
        <w:p w:rsidR="00D73E35" w:rsidRDefault="00D73E35" w:rsidP="00C04200">
          <w:r>
            <w:t xml:space="preserve">In the 2016 session, working in partnership with the Department of Labor and Industry, MCD received a one-time appropriation for ADA outreach and education. MCD hopes for additional funds to continue the </w:t>
          </w:r>
          <w:r w:rsidR="00C92833">
            <w:t>successful</w:t>
          </w:r>
          <w:r>
            <w:t xml:space="preserve"> engagement underway with stakeholders around the State on issues of physical and digital access.</w:t>
          </w:r>
        </w:p>
        <w:p w:rsidR="00A06A05" w:rsidRPr="00FD7A7E" w:rsidRDefault="00D73E35" w:rsidP="00C04200">
          <w:pPr>
            <w:pStyle w:val="Heading5"/>
          </w:pPr>
          <w:r w:rsidRPr="00D73E35">
            <w:t>Technical fix for the State Access Code</w:t>
          </w:r>
        </w:p>
        <w:p w:rsidR="00A06A05" w:rsidRPr="00FD7A7E" w:rsidRDefault="00D73E35" w:rsidP="00C04200">
          <w:r>
            <w:t>The</w:t>
          </w:r>
          <w:r w:rsidRPr="00D73E35">
            <w:t xml:space="preserve"> State of Minnesota’s Building Code accessibility guidelines state that State-owned facilities built or remodeled after July 1, 1963 are required to meet the accessibility requirements in place at the time of construction or remodeling. If they choose to remodel, they must come into full accessibility compliance, but they are not required to remodel, solely for the purpose of becoming accessible. This does not conform to federal requirements under the Americans with Disabilities Act, which state that all public accommodations must be accessible. While the change would not add any obligations that the State is not alre</w:t>
          </w:r>
          <w:r>
            <w:t>ady subject to under the ADA, MC</w:t>
          </w:r>
          <w:r w:rsidRPr="00D73E35">
            <w:t>D proposes removing this language from the State Building Code to preclude any confusion about what the State’s obligations are for accessibility.</w:t>
          </w:r>
        </w:p>
        <w:p w:rsidR="00D73E35" w:rsidRDefault="00D73E35" w:rsidP="00C04200">
          <w:pPr>
            <w:pStyle w:val="Heading5"/>
          </w:pPr>
          <w:r w:rsidRPr="00D73E35">
            <w:t xml:space="preserve">Disability </w:t>
          </w:r>
          <w:r w:rsidR="0059658B">
            <w:t>parking</w:t>
          </w:r>
          <w:r>
            <w:t xml:space="preserve"> </w:t>
          </w:r>
          <w:r w:rsidRPr="00D73E35">
            <w:t>plates legislation</w:t>
          </w:r>
        </w:p>
        <w:p w:rsidR="00963BA0" w:rsidRPr="0059658B" w:rsidRDefault="0059658B" w:rsidP="00C04200">
          <w:r>
            <w:t>When a person</w:t>
          </w:r>
          <w:r w:rsidR="00D73E35" w:rsidRPr="00D73E35">
            <w:t xml:space="preserve"> with a disability turns 18 and is no longer a minor, their name must be on the title </w:t>
          </w:r>
          <w:r>
            <w:t xml:space="preserve">of a vehicle in order </w:t>
          </w:r>
          <w:r w:rsidR="00D73E35" w:rsidRPr="00D73E35">
            <w:t>to qualify for disability parking plates. This poses a challenge for the caretakers of adults with disabilities. M</w:t>
          </w:r>
          <w:r w:rsidR="00D73E35">
            <w:t>CD seeks</w:t>
          </w:r>
          <w:r w:rsidR="00D73E35" w:rsidRPr="00D73E35">
            <w:t xml:space="preserve"> to remove this requirement from statute to ensure all caretakers have access to disability plates.</w:t>
          </w:r>
        </w:p>
      </w:sdtContent>
    </w:sdt>
    <w:p w:rsidR="0059658B" w:rsidRDefault="0059658B">
      <w:pPr>
        <w:spacing w:before="120" w:after="0"/>
      </w:pPr>
      <w:r>
        <w:br w:type="page"/>
      </w:r>
    </w:p>
    <w:p w:rsidR="0059658B" w:rsidRPr="00BA23A4" w:rsidRDefault="00C04200" w:rsidP="0059658B">
      <w:pPr>
        <w:pStyle w:val="Heading2"/>
      </w:pPr>
      <w:r>
        <w:lastRenderedPageBreak/>
        <w:t>Engaging our Community</w:t>
      </w:r>
    </w:p>
    <w:p w:rsidR="0059658B" w:rsidRPr="0034728D" w:rsidRDefault="0059658B" w:rsidP="0059658B">
      <w:r>
        <w:t>The Minnesota Council on Disability collaborate</w:t>
      </w:r>
      <w:r w:rsidR="00C92833">
        <w:t>s</w:t>
      </w:r>
      <w:r>
        <w:t xml:space="preserve"> with public and private partners to effectively serve as the voice</w:t>
      </w:r>
      <w:r w:rsidR="00E83E05">
        <w:t xml:space="preserve"> in our government</w:t>
      </w:r>
      <w:r>
        <w:t xml:space="preserve"> for people with disabilities. </w:t>
      </w:r>
      <w:r w:rsidR="00E83E05">
        <w:t>This section describes how we engage with members of the public and our private partners to effectively serve</w:t>
      </w:r>
      <w:r w:rsidR="00C04200">
        <w:t xml:space="preserve"> Minnesotans with disabilities.</w:t>
      </w:r>
    </w:p>
    <w:p w:rsidR="0059658B" w:rsidRPr="00D73E35" w:rsidRDefault="00E83E05" w:rsidP="0059658B">
      <w:pPr>
        <w:pStyle w:val="Heading3"/>
        <w:rPr>
          <w:sz w:val="32"/>
        </w:rPr>
      </w:pPr>
      <w:r>
        <w:rPr>
          <w:sz w:val="32"/>
        </w:rPr>
        <w:t>Advocacy</w:t>
      </w:r>
    </w:p>
    <w:p w:rsidR="0059658B" w:rsidRPr="00D73E35" w:rsidRDefault="00C92833" w:rsidP="001A4540">
      <w:pPr>
        <w:pStyle w:val="Heading4"/>
      </w:pPr>
      <w:r>
        <w:t>ADA T</w:t>
      </w:r>
      <w:r w:rsidR="00E83E05">
        <w:t>raining</w:t>
      </w:r>
    </w:p>
    <w:p w:rsidR="00E83E05" w:rsidRPr="00E83E05" w:rsidRDefault="00E83E05" w:rsidP="001A4540">
      <w:pPr>
        <w:rPr>
          <w:b/>
        </w:rPr>
      </w:pPr>
      <w:r>
        <w:t>MC</w:t>
      </w:r>
      <w:r w:rsidRPr="00E83E05">
        <w:t>D provides technical assistance and education on the Americans with Disabilities Act (ADA) and accessibility concerns a</w:t>
      </w:r>
      <w:r>
        <w:t>cross Minnesota. For decades, the agency</w:t>
      </w:r>
      <w:r w:rsidRPr="00E83E05">
        <w:t>’s capacity to provide this service has been limited to less t</w:t>
      </w:r>
      <w:r>
        <w:t>han one person. The recent spike</w:t>
      </w:r>
      <w:r w:rsidRPr="00E83E05">
        <w:t xml:space="preserve"> in l</w:t>
      </w:r>
      <w:r w:rsidR="002608EC">
        <w:t>awsuits has increased Minnesota</w:t>
      </w:r>
      <w:r w:rsidRPr="00E83E05">
        <w:t xml:space="preserve"> businesse</w:t>
      </w:r>
      <w:r>
        <w:t>s’ demand for the services the Council provides. This year, MC</w:t>
      </w:r>
      <w:r w:rsidRPr="00E83E05">
        <w:t xml:space="preserve">D received one-time funding to increase </w:t>
      </w:r>
      <w:r w:rsidR="009008D3">
        <w:t xml:space="preserve">institutional </w:t>
      </w:r>
      <w:r w:rsidRPr="00E83E05">
        <w:t xml:space="preserve">capacity </w:t>
      </w:r>
      <w:r w:rsidR="009008D3">
        <w:t>to</w:t>
      </w:r>
      <w:r w:rsidRPr="00E83E05">
        <w:t xml:space="preserve"> provide outreach around the state to any entity who wants to learn more about meeting their obligations under the ADA. We have </w:t>
      </w:r>
      <w:r w:rsidR="009008D3">
        <w:t>conducted webinars</w:t>
      </w:r>
      <w:r w:rsidRPr="00E83E05">
        <w:t xml:space="preserve"> and presented in places like Austin and White Bear Lake. This outreach has generated excitement among businesses and other organizations who, until now, were largely unaware of how the ADA affected them. Businesses are </w:t>
      </w:r>
      <w:r w:rsidRPr="001A4540">
        <w:rPr>
          <w:rStyle w:val="Emphasis"/>
        </w:rPr>
        <w:t>more than willing</w:t>
      </w:r>
      <w:r w:rsidRPr="00E83E05">
        <w:t xml:space="preserve"> to make their facilities accessible to people with disabilities and comply with the ADA; they just did not know wh</w:t>
      </w:r>
      <w:r w:rsidR="00C04200">
        <w:t>ere to find the tools to do so.</w:t>
      </w:r>
    </w:p>
    <w:p w:rsidR="00BA18FD" w:rsidRDefault="00E83E05" w:rsidP="001A4540">
      <w:pPr>
        <w:rPr>
          <w:b/>
        </w:rPr>
      </w:pPr>
      <w:r w:rsidRPr="00E83E05">
        <w:t>This year has seen a dramatic rise in the numb</w:t>
      </w:r>
      <w:r w:rsidR="009008D3">
        <w:t>er of businesses who utilized MC</w:t>
      </w:r>
      <w:r w:rsidRPr="00E83E05">
        <w:t xml:space="preserve">D to remove barriers that </w:t>
      </w:r>
      <w:r w:rsidR="00D95560">
        <w:t>prevented</w:t>
      </w:r>
      <w:r w:rsidRPr="00E83E05">
        <w:t xml:space="preserve"> people with disabilities from buying goods and services. </w:t>
      </w:r>
      <w:r w:rsidR="009008D3">
        <w:t>Providing inclusion</w:t>
      </w:r>
      <w:r w:rsidRPr="00E83E05">
        <w:t xml:space="preserve"> and meeting ADA obligations is th</w:t>
      </w:r>
      <w:r w:rsidR="009008D3">
        <w:t>e best way to avoid lawsuits. MC</w:t>
      </w:r>
      <w:r w:rsidRPr="00E83E05">
        <w:t xml:space="preserve">D is </w:t>
      </w:r>
      <w:r w:rsidR="00C92833">
        <w:t>uniquely positioned to assist</w:t>
      </w:r>
      <w:r w:rsidRPr="00E83E05">
        <w:t xml:space="preserve"> anyone who </w:t>
      </w:r>
      <w:r w:rsidR="00D95560">
        <w:t xml:space="preserve">needs </w:t>
      </w:r>
      <w:r w:rsidRPr="00E83E05">
        <w:t>more informatio</w:t>
      </w:r>
      <w:r w:rsidR="00D95560">
        <w:t>n on the ADA and designing for an inclusive experience</w:t>
      </w:r>
      <w:r w:rsidR="00C92833">
        <w:t>. As a core agency operation, t</w:t>
      </w:r>
      <w:r w:rsidRPr="00E83E05">
        <w:t>his is a public service that is good for the disability community and businesses alike.</w:t>
      </w:r>
    </w:p>
    <w:p w:rsidR="00D95560" w:rsidRPr="00D95560" w:rsidRDefault="00D95560" w:rsidP="00D95560">
      <w:pPr>
        <w:pStyle w:val="Heading3"/>
        <w:rPr>
          <w:sz w:val="32"/>
        </w:rPr>
      </w:pPr>
      <w:r>
        <w:rPr>
          <w:sz w:val="32"/>
        </w:rPr>
        <w:t>Community</w:t>
      </w:r>
    </w:p>
    <w:p w:rsidR="00D95560" w:rsidRPr="00BA18FD" w:rsidRDefault="00D95560" w:rsidP="001A4540">
      <w:pPr>
        <w:pStyle w:val="Heading4"/>
        <w:rPr>
          <w:rFonts w:eastAsia="Times New Roman" w:cs="Times New Roman"/>
          <w:b/>
          <w:szCs w:val="22"/>
        </w:rPr>
      </w:pPr>
      <w:r>
        <w:t xml:space="preserve">Partnership with </w:t>
      </w:r>
      <w:r w:rsidRPr="002608EC">
        <w:rPr>
          <w:lang w:val="so-SO"/>
        </w:rPr>
        <w:t>Rajoqab</w:t>
      </w:r>
    </w:p>
    <w:p w:rsidR="00D95560" w:rsidRDefault="00D95560" w:rsidP="00D95560">
      <w:r>
        <w:t xml:space="preserve">Early in 2016, the Council was contacted by and met with the Somali disability advocacy group </w:t>
      </w:r>
      <w:r w:rsidRPr="002608EC">
        <w:rPr>
          <w:lang w:val="so-SO"/>
        </w:rPr>
        <w:t>Rajoqab</w:t>
      </w:r>
      <w:r>
        <w:t xml:space="preserve"> (Hope in Action). </w:t>
      </w:r>
      <w:r w:rsidRPr="002608EC">
        <w:rPr>
          <w:lang w:val="so-SO"/>
        </w:rPr>
        <w:t>Rajoqab</w:t>
      </w:r>
      <w:r>
        <w:t xml:space="preserve">, MCD, and many other stakeholders met to discuss opportunities available to </w:t>
      </w:r>
      <w:r w:rsidR="00C92833">
        <w:t>ensure</w:t>
      </w:r>
      <w:r>
        <w:t xml:space="preserve"> people with disabilities </w:t>
      </w:r>
      <w:r w:rsidR="00C92833">
        <w:t>are afforded their civil rights to</w:t>
      </w:r>
      <w:r>
        <w:t xml:space="preserve"> participate in Minnesotan society. </w:t>
      </w:r>
      <w:r w:rsidRPr="005A11EB">
        <w:rPr>
          <w:lang w:val="so-SO"/>
        </w:rPr>
        <w:t>Rajoqab</w:t>
      </w:r>
      <w:r>
        <w:t xml:space="preserve"> consists of people from all over Minnesota of various age</w:t>
      </w:r>
      <w:r w:rsidR="00190D43">
        <w:t>s and disabilities. At</w:t>
      </w:r>
      <w:r w:rsidR="00891351">
        <w:t xml:space="preserve"> MCD </w:t>
      </w:r>
      <w:r>
        <w:t>it</w:t>
      </w:r>
      <w:r w:rsidR="00891351">
        <w:t xml:space="preserve"> is</w:t>
      </w:r>
      <w:r>
        <w:t xml:space="preserve"> our responsibility to connect people with disabilities, especially those who have been marginalized, to </w:t>
      </w:r>
      <w:r w:rsidR="00C92833">
        <w:t>available supports</w:t>
      </w:r>
      <w:r>
        <w:t xml:space="preserve">. </w:t>
      </w:r>
      <w:r w:rsidR="00F966EC">
        <w:t>After conversing with the group, it was clear that</w:t>
      </w:r>
      <w:r>
        <w:t xml:space="preserve"> they are individuals who have been relegated to </w:t>
      </w:r>
      <w:r w:rsidR="00190D43">
        <w:t xml:space="preserve">the </w:t>
      </w:r>
      <w:r>
        <w:t>periphery of society both in their countries of origin and in Minnesota.</w:t>
      </w:r>
      <w:r w:rsidR="00C92833">
        <w:t xml:space="preserve"> </w:t>
      </w:r>
      <w:r w:rsidR="00C92833" w:rsidRPr="00C92833">
        <w:t>Our state needs the talents and skills this community possesses and is eager to share</w:t>
      </w:r>
      <w:r w:rsidR="00C92833">
        <w:t xml:space="preserve">. </w:t>
      </w:r>
      <w:r w:rsidR="00C92833" w:rsidRPr="005A11EB">
        <w:rPr>
          <w:lang w:val="so-SO"/>
        </w:rPr>
        <w:t>Rajoqab</w:t>
      </w:r>
      <w:r w:rsidR="00C92833">
        <w:t xml:space="preserve"> is a community of</w:t>
      </w:r>
      <w:r>
        <w:t xml:space="preserve"> </w:t>
      </w:r>
      <w:r>
        <w:lastRenderedPageBreak/>
        <w:t>unique</w:t>
      </w:r>
      <w:r w:rsidR="00C92833">
        <w:t xml:space="preserve"> individuals,</w:t>
      </w:r>
      <w:r>
        <w:t xml:space="preserve"> are recent</w:t>
      </w:r>
      <w:r w:rsidR="00891351">
        <w:t xml:space="preserve"> immigrants of African heritage</w:t>
      </w:r>
      <w:r>
        <w:t xml:space="preserve"> who have disabilities, and are in many cases at an economic disadvantage</w:t>
      </w:r>
      <w:r w:rsidR="00C04200">
        <w:t xml:space="preserve"> compared to other Minnesotans.</w:t>
      </w:r>
    </w:p>
    <w:p w:rsidR="00D95560" w:rsidRPr="00D95560" w:rsidRDefault="00891351" w:rsidP="00D95560">
      <w:r w:rsidRPr="005A11EB">
        <w:rPr>
          <w:lang w:val="so-SO"/>
        </w:rPr>
        <w:t>Rajoqab</w:t>
      </w:r>
      <w:r>
        <w:t>’s position is clear, no one is seeking a hand out.</w:t>
      </w:r>
      <w:r w:rsidR="00D95560">
        <w:t xml:space="preserve"> </w:t>
      </w:r>
      <w:r>
        <w:t>W</w:t>
      </w:r>
      <w:r w:rsidR="00D95560">
        <w:t>hat they want is a chance to become part of Minnesotan society. How long will we continue to relegate people with disabilities, immigrants, and those with African heritage t</w:t>
      </w:r>
      <w:r>
        <w:t>o the periphery of society? MC</w:t>
      </w:r>
      <w:r w:rsidR="00D95560">
        <w:t>D views this group of skilled, motivated, organized individuals as an opportunity to move the dial on a problem Minnesota has been talking about for far too long.</w:t>
      </w:r>
    </w:p>
    <w:p w:rsidR="0059658B" w:rsidRPr="00BA18FD" w:rsidRDefault="00D95560" w:rsidP="001A4540">
      <w:pPr>
        <w:pStyle w:val="Heading4"/>
        <w:rPr>
          <w:rFonts w:eastAsia="Times New Roman" w:cs="Times New Roman"/>
          <w:b/>
          <w:szCs w:val="22"/>
        </w:rPr>
      </w:pPr>
      <w:r>
        <w:t>26</w:t>
      </w:r>
      <w:r w:rsidRPr="00D95560">
        <w:rPr>
          <w:vertAlign w:val="superscript"/>
        </w:rPr>
        <w:t>th</w:t>
      </w:r>
      <w:r>
        <w:t xml:space="preserve"> Anniversary of the ADA Celebration</w:t>
      </w:r>
    </w:p>
    <w:p w:rsidR="00D95560" w:rsidRDefault="00D95560" w:rsidP="00D95560">
      <w:r>
        <w:t>The Council on Disability and Minnesotans from around the State gathered at the Minnesota History Center to celebrate the 26th Anniversary of the Americans with Disabilities Act. The event featured a keynote address by Ken Rodgers, Chair of the Minneapolis Advisory Committee on People with Disabilities. A lively panel d</w:t>
      </w:r>
      <w:r w:rsidR="00190D43">
        <w:t xml:space="preserve">iscussion </w:t>
      </w:r>
      <w:r>
        <w:t xml:space="preserve">featured Mai Thor, Outreach Coordinator with the Metropolitan Council, Char Diamond Coal, producer and curator of the disability art series </w:t>
      </w:r>
      <w:proofErr w:type="spellStart"/>
      <w:r>
        <w:t>ZagZum</w:t>
      </w:r>
      <w:proofErr w:type="spellEnd"/>
      <w:r>
        <w:t xml:space="preserve">, </w:t>
      </w:r>
      <w:proofErr w:type="spellStart"/>
      <w:r>
        <w:t>Fardowsa</w:t>
      </w:r>
      <w:proofErr w:type="spellEnd"/>
      <w:r>
        <w:t xml:space="preserve"> Ali, an advocate for Somali immigrants with disabilities, and MCD Councilmember Carlos Vazquez. The panel discussed the issue of diversity w</w:t>
      </w:r>
      <w:r w:rsidR="00C04200">
        <w:t>ithin the disability community.</w:t>
      </w:r>
    </w:p>
    <w:p w:rsidR="0059658B" w:rsidRDefault="00D95560" w:rsidP="00D95560">
      <w:r>
        <w:t xml:space="preserve">Finally, Angelique </w:t>
      </w:r>
      <w:proofErr w:type="spellStart"/>
      <w:r>
        <w:t>Lele</w:t>
      </w:r>
      <w:proofErr w:type="spellEnd"/>
      <w:r>
        <w:t>, Miss Wheelchair Minnesota, and the dance troupe Young Dance performed and provided dance instruction for audience members of all abilities. Our annual ADA celebrations continue to serve as a wonderful opportunity for the disability community to gather together to celebrate the progress of the disability movement, learn about new issues affecting the disability community</w:t>
      </w:r>
      <w:r w:rsidR="00190D43">
        <w:t>,</w:t>
      </w:r>
      <w:r>
        <w:t xml:space="preserve"> and remind ourselves what is at stake for Minnesotans with disabilities if the movement does not continue to progress.</w:t>
      </w:r>
    </w:p>
    <w:p w:rsidR="003F4839" w:rsidRPr="00BA18FD" w:rsidRDefault="003F4839" w:rsidP="001A4540">
      <w:pPr>
        <w:pStyle w:val="Heading4"/>
        <w:rPr>
          <w:rFonts w:eastAsia="Times New Roman" w:cs="Times New Roman"/>
          <w:b/>
          <w:szCs w:val="22"/>
        </w:rPr>
      </w:pPr>
      <w:r>
        <w:t>2016 Minnesota State Fair Booth</w:t>
      </w:r>
    </w:p>
    <w:p w:rsidR="003F4839" w:rsidRDefault="003F4839" w:rsidP="003F4839">
      <w:r>
        <w:t xml:space="preserve">August brought yet another successful year </w:t>
      </w:r>
      <w:r w:rsidR="008D2222">
        <w:t xml:space="preserve">of constituency engagement </w:t>
      </w:r>
      <w:r>
        <w:t xml:space="preserve">at the Minnesota State Fair. We were joined by a number of important guests, as well. Commissioners from the Departments of Administration, Education, Commerce, Labor and Industry, Higher Education, Human Services, Health and Human Rights visited the booth, along with Secretary of State Steve Simon and the Governor’s Chief of Staff, Jaime </w:t>
      </w:r>
      <w:proofErr w:type="spellStart"/>
      <w:r>
        <w:t>Tincher</w:t>
      </w:r>
      <w:proofErr w:type="spellEnd"/>
      <w:r>
        <w:t>.</w:t>
      </w:r>
      <w:r w:rsidR="008D2222">
        <w:t xml:space="preserve"> W</w:t>
      </w:r>
      <w:r>
        <w:t>e are grateful for each official’s willingness to give their time to share information about the services their departments provide for people with disabilities.</w:t>
      </w:r>
    </w:p>
    <w:p w:rsidR="003F4839" w:rsidRPr="002F1947" w:rsidRDefault="008D2222" w:rsidP="003F4839">
      <w:r>
        <w:t>Additionally, we continued</w:t>
      </w:r>
      <w:r w:rsidR="003F4839">
        <w:t xml:space="preserve"> to expand the cultur</w:t>
      </w:r>
      <w:r>
        <w:t>al element of our booth</w:t>
      </w:r>
      <w:r w:rsidR="003F4839">
        <w:t>. Visitors had the opportunity to write their own disability haikus, listen to live music, meet both the current and former Miss Wheelchair Minnesota and pick up posters of incredible art, done by Minnesotan art</w:t>
      </w:r>
      <w:r w:rsidR="00891351">
        <w:t>ists with disabilities. The MC</w:t>
      </w:r>
      <w:r w:rsidR="003F4839">
        <w:t xml:space="preserve">D State Fair booth continues to be a space </w:t>
      </w:r>
      <w:r>
        <w:t>where</w:t>
      </w:r>
      <w:r w:rsidR="003F4839">
        <w:t xml:space="preserve"> Minnesotans with disabilities can gather, </w:t>
      </w:r>
      <w:r>
        <w:t>be</w:t>
      </w:r>
      <w:r w:rsidR="003F4839">
        <w:t xml:space="preserve"> infor</w:t>
      </w:r>
      <w:bookmarkStart w:id="1" w:name="_GoBack"/>
      <w:bookmarkEnd w:id="1"/>
      <w:r w:rsidR="003F4839">
        <w:t>med and celebrate disability culture.</w:t>
      </w:r>
    </w:p>
    <w:sectPr w:rsidR="003F4839" w:rsidRPr="002F1947" w:rsidSect="00EB251D">
      <w:headerReference w:type="first" r:id="rId15"/>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42" w:rsidRDefault="001E0642" w:rsidP="00D247F6">
      <w:r>
        <w:separator/>
      </w:r>
    </w:p>
  </w:endnote>
  <w:endnote w:type="continuationSeparator" w:id="0">
    <w:p w:rsidR="001E0642" w:rsidRDefault="001E0642"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EC" w:rsidRDefault="00260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7E" w:rsidRPr="00324E7E" w:rsidRDefault="0059658B" w:rsidP="00324E7E">
    <w:pPr>
      <w:pStyle w:val="Footer"/>
      <w:jc w:val="right"/>
    </w:pPr>
    <w:r>
      <w:t>2016 Annual Report</w:t>
    </w:r>
    <w:r w:rsidR="00324E7E" w:rsidRPr="00AF5107">
      <w:tab/>
    </w:r>
    <w:r w:rsidR="00324E7E" w:rsidRPr="00AF5107">
      <w:fldChar w:fldCharType="begin"/>
    </w:r>
    <w:r w:rsidR="00324E7E" w:rsidRPr="00AF5107">
      <w:instrText xml:space="preserve"> PAGE   \* MERGEFORMAT </w:instrText>
    </w:r>
    <w:r w:rsidR="00324E7E" w:rsidRPr="00AF5107">
      <w:fldChar w:fldCharType="separate"/>
    </w:r>
    <w:r w:rsidR="00DA5393">
      <w:rPr>
        <w:noProof/>
      </w:rPr>
      <w:t>5</w:t>
    </w:r>
    <w:r w:rsidR="00324E7E" w:rsidRPr="00AF510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EC" w:rsidRDefault="00260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42" w:rsidRDefault="001E0642" w:rsidP="00D247F6">
      <w:r>
        <w:separator/>
      </w:r>
    </w:p>
  </w:footnote>
  <w:footnote w:type="continuationSeparator" w:id="0">
    <w:p w:rsidR="001E0642" w:rsidRDefault="001E0642" w:rsidP="00D2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EC" w:rsidRDefault="00260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EC" w:rsidRDefault="00260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EC" w:rsidRDefault="002608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B5" w:rsidRPr="005666F2" w:rsidRDefault="00622BB5" w:rsidP="00D24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pt;height:28.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A3C0DA8"/>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8"/>
  </w:num>
  <w:num w:numId="5">
    <w:abstractNumId w:val="16"/>
  </w:num>
  <w:num w:numId="6">
    <w:abstractNumId w:val="4"/>
  </w:num>
  <w:num w:numId="7">
    <w:abstractNumId w:val="14"/>
  </w:num>
  <w:num w:numId="8">
    <w:abstractNumId w:val="8"/>
  </w:num>
  <w:num w:numId="9">
    <w:abstractNumId w:val="12"/>
  </w:num>
  <w:num w:numId="10">
    <w:abstractNumId w:val="2"/>
  </w:num>
  <w:num w:numId="11">
    <w:abstractNumId w:val="2"/>
  </w:num>
  <w:num w:numId="12">
    <w:abstractNumId w:val="21"/>
  </w:num>
  <w:num w:numId="13">
    <w:abstractNumId w:val="22"/>
  </w:num>
  <w:num w:numId="14">
    <w:abstractNumId w:val="15"/>
  </w:num>
  <w:num w:numId="15">
    <w:abstractNumId w:val="2"/>
  </w:num>
  <w:num w:numId="16">
    <w:abstractNumId w:val="22"/>
  </w:num>
  <w:num w:numId="17">
    <w:abstractNumId w:val="15"/>
  </w:num>
  <w:num w:numId="18">
    <w:abstractNumId w:val="10"/>
  </w:num>
  <w:num w:numId="19">
    <w:abstractNumId w:val="5"/>
  </w:num>
  <w:num w:numId="20">
    <w:abstractNumId w:val="1"/>
  </w:num>
  <w:num w:numId="21">
    <w:abstractNumId w:val="0"/>
  </w:num>
  <w:num w:numId="22">
    <w:abstractNumId w:val="9"/>
  </w:num>
  <w:num w:numId="23">
    <w:abstractNumId w:val="17"/>
  </w:num>
  <w:num w:numId="24">
    <w:abstractNumId w:val="19"/>
  </w:num>
  <w:num w:numId="25">
    <w:abstractNumId w:val="11"/>
  </w:num>
  <w:num w:numId="26">
    <w:abstractNumId w:val="7"/>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Sb7gXOqxVA05qHhXX8rw8uNRGF1JVfJIeyN+KyHnapX62fpKoWO+4BL4CBvn/zo6GHCxL3lXYtal3bcCMYwDQ==" w:salt="S3vfhyMpS2ID6VOp7rra9w=="/>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42"/>
    <w:rsid w:val="00002DEC"/>
    <w:rsid w:val="000065AC"/>
    <w:rsid w:val="00006A0A"/>
    <w:rsid w:val="00014777"/>
    <w:rsid w:val="000158A7"/>
    <w:rsid w:val="000233BF"/>
    <w:rsid w:val="000261E8"/>
    <w:rsid w:val="00064B90"/>
    <w:rsid w:val="000663D6"/>
    <w:rsid w:val="0007374A"/>
    <w:rsid w:val="00074A30"/>
    <w:rsid w:val="0007512E"/>
    <w:rsid w:val="00080404"/>
    <w:rsid w:val="00084742"/>
    <w:rsid w:val="000B2E68"/>
    <w:rsid w:val="000C3708"/>
    <w:rsid w:val="000C3761"/>
    <w:rsid w:val="000C7373"/>
    <w:rsid w:val="000E313B"/>
    <w:rsid w:val="000E3E9D"/>
    <w:rsid w:val="000F4BB1"/>
    <w:rsid w:val="00135082"/>
    <w:rsid w:val="00135DC7"/>
    <w:rsid w:val="00147ED1"/>
    <w:rsid w:val="001500D6"/>
    <w:rsid w:val="00157C41"/>
    <w:rsid w:val="001661D9"/>
    <w:rsid w:val="001708EC"/>
    <w:rsid w:val="00190D43"/>
    <w:rsid w:val="00190FAC"/>
    <w:rsid w:val="001925A8"/>
    <w:rsid w:val="001961CB"/>
    <w:rsid w:val="0019673D"/>
    <w:rsid w:val="001A4540"/>
    <w:rsid w:val="001A46BB"/>
    <w:rsid w:val="001B20E6"/>
    <w:rsid w:val="001C4B91"/>
    <w:rsid w:val="001C55E0"/>
    <w:rsid w:val="001E0642"/>
    <w:rsid w:val="001E160D"/>
    <w:rsid w:val="001E5ECF"/>
    <w:rsid w:val="001F278F"/>
    <w:rsid w:val="00211CA3"/>
    <w:rsid w:val="00222A49"/>
    <w:rsid w:val="0022552E"/>
    <w:rsid w:val="00227D62"/>
    <w:rsid w:val="00245731"/>
    <w:rsid w:val="002608EC"/>
    <w:rsid w:val="00261247"/>
    <w:rsid w:val="00264652"/>
    <w:rsid w:val="00274294"/>
    <w:rsid w:val="00277822"/>
    <w:rsid w:val="00282084"/>
    <w:rsid w:val="00291052"/>
    <w:rsid w:val="002B5E79"/>
    <w:rsid w:val="002C0859"/>
    <w:rsid w:val="002F071E"/>
    <w:rsid w:val="002F1947"/>
    <w:rsid w:val="00306D94"/>
    <w:rsid w:val="003125DF"/>
    <w:rsid w:val="00324E7E"/>
    <w:rsid w:val="00335736"/>
    <w:rsid w:val="0034554C"/>
    <w:rsid w:val="0034728D"/>
    <w:rsid w:val="003563D2"/>
    <w:rsid w:val="00367E1E"/>
    <w:rsid w:val="00376FA5"/>
    <w:rsid w:val="00387693"/>
    <w:rsid w:val="00392B94"/>
    <w:rsid w:val="003A1479"/>
    <w:rsid w:val="003A1813"/>
    <w:rsid w:val="003B7D82"/>
    <w:rsid w:val="003C4644"/>
    <w:rsid w:val="003C5BE3"/>
    <w:rsid w:val="003C6315"/>
    <w:rsid w:val="003F4839"/>
    <w:rsid w:val="003F61EE"/>
    <w:rsid w:val="00413A7C"/>
    <w:rsid w:val="004141DD"/>
    <w:rsid w:val="00447199"/>
    <w:rsid w:val="00461804"/>
    <w:rsid w:val="00463AD5"/>
    <w:rsid w:val="00466810"/>
    <w:rsid w:val="004816B5"/>
    <w:rsid w:val="00483DD2"/>
    <w:rsid w:val="00490BD7"/>
    <w:rsid w:val="00492A77"/>
    <w:rsid w:val="00494E6F"/>
    <w:rsid w:val="004A1B4D"/>
    <w:rsid w:val="004A58DD"/>
    <w:rsid w:val="004A6119"/>
    <w:rsid w:val="004B47DC"/>
    <w:rsid w:val="004C04F1"/>
    <w:rsid w:val="004D5320"/>
    <w:rsid w:val="004E2555"/>
    <w:rsid w:val="004E75B3"/>
    <w:rsid w:val="004F04BA"/>
    <w:rsid w:val="004F0EFF"/>
    <w:rsid w:val="004F33A6"/>
    <w:rsid w:val="0050093F"/>
    <w:rsid w:val="00514788"/>
    <w:rsid w:val="00533E60"/>
    <w:rsid w:val="0054371B"/>
    <w:rsid w:val="00555B93"/>
    <w:rsid w:val="0056615E"/>
    <w:rsid w:val="005666F2"/>
    <w:rsid w:val="00575EFD"/>
    <w:rsid w:val="0059658B"/>
    <w:rsid w:val="005A11EB"/>
    <w:rsid w:val="005A5A73"/>
    <w:rsid w:val="005B2DDF"/>
    <w:rsid w:val="005B4AE7"/>
    <w:rsid w:val="005B53B0"/>
    <w:rsid w:val="005C5FC6"/>
    <w:rsid w:val="005C672C"/>
    <w:rsid w:val="005D4207"/>
    <w:rsid w:val="005D45B3"/>
    <w:rsid w:val="005F6005"/>
    <w:rsid w:val="006064AB"/>
    <w:rsid w:val="006229CF"/>
    <w:rsid w:val="00622BB5"/>
    <w:rsid w:val="00624CFF"/>
    <w:rsid w:val="00655345"/>
    <w:rsid w:val="00672536"/>
    <w:rsid w:val="00681EDC"/>
    <w:rsid w:val="0068649F"/>
    <w:rsid w:val="00687189"/>
    <w:rsid w:val="00697CCC"/>
    <w:rsid w:val="006B0D98"/>
    <w:rsid w:val="006B13B7"/>
    <w:rsid w:val="006B2942"/>
    <w:rsid w:val="006B3994"/>
    <w:rsid w:val="006C0E45"/>
    <w:rsid w:val="006D4829"/>
    <w:rsid w:val="006E462D"/>
    <w:rsid w:val="006F3B38"/>
    <w:rsid w:val="007124DA"/>
    <w:rsid w:val="007137A4"/>
    <w:rsid w:val="0071469D"/>
    <w:rsid w:val="007225DF"/>
    <w:rsid w:val="007237DD"/>
    <w:rsid w:val="007371AC"/>
    <w:rsid w:val="00745873"/>
    <w:rsid w:val="0074778B"/>
    <w:rsid w:val="007655C9"/>
    <w:rsid w:val="007658D0"/>
    <w:rsid w:val="0077225E"/>
    <w:rsid w:val="00781701"/>
    <w:rsid w:val="00793F48"/>
    <w:rsid w:val="007B038E"/>
    <w:rsid w:val="007B35B2"/>
    <w:rsid w:val="007D1FFF"/>
    <w:rsid w:val="007D42A0"/>
    <w:rsid w:val="007E0CAA"/>
    <w:rsid w:val="007E685C"/>
    <w:rsid w:val="007F6108"/>
    <w:rsid w:val="007F7097"/>
    <w:rsid w:val="00801B38"/>
    <w:rsid w:val="008067A6"/>
    <w:rsid w:val="00814C62"/>
    <w:rsid w:val="008251B3"/>
    <w:rsid w:val="00844F1D"/>
    <w:rsid w:val="0084749F"/>
    <w:rsid w:val="008533D4"/>
    <w:rsid w:val="00864202"/>
    <w:rsid w:val="008767E5"/>
    <w:rsid w:val="00891351"/>
    <w:rsid w:val="008B2BFB"/>
    <w:rsid w:val="008B5443"/>
    <w:rsid w:val="008C7EEB"/>
    <w:rsid w:val="008D0DEF"/>
    <w:rsid w:val="008D2222"/>
    <w:rsid w:val="008D2256"/>
    <w:rsid w:val="008D5E3D"/>
    <w:rsid w:val="009008D3"/>
    <w:rsid w:val="0090737A"/>
    <w:rsid w:val="00910BAC"/>
    <w:rsid w:val="00930899"/>
    <w:rsid w:val="009440E4"/>
    <w:rsid w:val="0096108C"/>
    <w:rsid w:val="00963BA0"/>
    <w:rsid w:val="00967764"/>
    <w:rsid w:val="009810EE"/>
    <w:rsid w:val="00984CC9"/>
    <w:rsid w:val="0099233F"/>
    <w:rsid w:val="009A66AE"/>
    <w:rsid w:val="009B4090"/>
    <w:rsid w:val="009B54A0"/>
    <w:rsid w:val="009C6405"/>
    <w:rsid w:val="009E7BB6"/>
    <w:rsid w:val="00A06A05"/>
    <w:rsid w:val="00A202DC"/>
    <w:rsid w:val="00A21C0E"/>
    <w:rsid w:val="00A25DD4"/>
    <w:rsid w:val="00A30799"/>
    <w:rsid w:val="00A57FE8"/>
    <w:rsid w:val="00A64ECE"/>
    <w:rsid w:val="00A66185"/>
    <w:rsid w:val="00A71CAD"/>
    <w:rsid w:val="00A731A2"/>
    <w:rsid w:val="00A80D73"/>
    <w:rsid w:val="00A827C1"/>
    <w:rsid w:val="00A82A78"/>
    <w:rsid w:val="00A93F40"/>
    <w:rsid w:val="00A96F93"/>
    <w:rsid w:val="00AE5772"/>
    <w:rsid w:val="00AF22AD"/>
    <w:rsid w:val="00AF5107"/>
    <w:rsid w:val="00B06264"/>
    <w:rsid w:val="00B07C8F"/>
    <w:rsid w:val="00B275D4"/>
    <w:rsid w:val="00B31F41"/>
    <w:rsid w:val="00B545E5"/>
    <w:rsid w:val="00B75051"/>
    <w:rsid w:val="00B859DE"/>
    <w:rsid w:val="00BA18FD"/>
    <w:rsid w:val="00BA23A4"/>
    <w:rsid w:val="00BD0E59"/>
    <w:rsid w:val="00C04200"/>
    <w:rsid w:val="00C12D2F"/>
    <w:rsid w:val="00C277A8"/>
    <w:rsid w:val="00C309AE"/>
    <w:rsid w:val="00C356DB"/>
    <w:rsid w:val="00C365CE"/>
    <w:rsid w:val="00C417EB"/>
    <w:rsid w:val="00C528AE"/>
    <w:rsid w:val="00C61688"/>
    <w:rsid w:val="00C92833"/>
    <w:rsid w:val="00CE45B0"/>
    <w:rsid w:val="00CF625F"/>
    <w:rsid w:val="00D0014D"/>
    <w:rsid w:val="00D22819"/>
    <w:rsid w:val="00D247F6"/>
    <w:rsid w:val="00D511F0"/>
    <w:rsid w:val="00D54EE5"/>
    <w:rsid w:val="00D63F82"/>
    <w:rsid w:val="00D640FC"/>
    <w:rsid w:val="00D70F7D"/>
    <w:rsid w:val="00D73E35"/>
    <w:rsid w:val="00D80D0A"/>
    <w:rsid w:val="00D817C7"/>
    <w:rsid w:val="00D92929"/>
    <w:rsid w:val="00D93C2E"/>
    <w:rsid w:val="00D95560"/>
    <w:rsid w:val="00D970A5"/>
    <w:rsid w:val="00DA212A"/>
    <w:rsid w:val="00DA5393"/>
    <w:rsid w:val="00DB0BE6"/>
    <w:rsid w:val="00DB4967"/>
    <w:rsid w:val="00DE50CB"/>
    <w:rsid w:val="00DF3896"/>
    <w:rsid w:val="00DF6662"/>
    <w:rsid w:val="00E05639"/>
    <w:rsid w:val="00E206AE"/>
    <w:rsid w:val="00E23397"/>
    <w:rsid w:val="00E32CD7"/>
    <w:rsid w:val="00E41BD2"/>
    <w:rsid w:val="00E44EE1"/>
    <w:rsid w:val="00E5241D"/>
    <w:rsid w:val="00E5680C"/>
    <w:rsid w:val="00E61A16"/>
    <w:rsid w:val="00E76267"/>
    <w:rsid w:val="00E83E05"/>
    <w:rsid w:val="00EA535B"/>
    <w:rsid w:val="00EB251D"/>
    <w:rsid w:val="00EB2B13"/>
    <w:rsid w:val="00EC24AF"/>
    <w:rsid w:val="00EC579D"/>
    <w:rsid w:val="00ED3219"/>
    <w:rsid w:val="00ED5BDC"/>
    <w:rsid w:val="00ED7DAC"/>
    <w:rsid w:val="00EF7D8D"/>
    <w:rsid w:val="00F067A6"/>
    <w:rsid w:val="00F164F6"/>
    <w:rsid w:val="00F20B25"/>
    <w:rsid w:val="00F6052E"/>
    <w:rsid w:val="00F70C03"/>
    <w:rsid w:val="00F9084A"/>
    <w:rsid w:val="00F966EC"/>
    <w:rsid w:val="00FB6E40"/>
    <w:rsid w:val="00FD1CCB"/>
    <w:rsid w:val="00FD7A7E"/>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7E2A2-DAB4-47F0-AA1D-E54F02C5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B38"/>
    <w:pPr>
      <w:spacing w:before="200" w:after="200"/>
    </w:pPr>
    <w:rPr>
      <w:sz w:val="24"/>
    </w:r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01B38"/>
    <w:pPr>
      <w:spacing w:after="400" w:line="240" w:lineRule="auto"/>
    </w:pPr>
    <w:rPr>
      <w:iCs/>
      <w:color w:val="000000" w:themeColor="text2"/>
      <w:sz w:val="22"/>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paragraph" w:customStyle="1" w:styleId="StyleHeading2LatinCalibri11ptNotBoldAuto">
    <w:name w:val="Style Heading 2 + (Latin) Calibri 11 pt Not Bold Auto"/>
    <w:basedOn w:val="Heading2"/>
    <w:rsid w:val="00801B38"/>
    <w:rPr>
      <w:rFonts w:ascii="Calibri" w:hAnsi="Calibri"/>
      <w:b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Olson\AppData\Local\Temp\Temp1_Communications.zip\Reports,%20Policies,%20Procedures%20and%20Instructions\Report%20Multipage%20Templat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B4D0-C9DA-4E9E-8A5A-D28411B2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Multipage Template.dotx</Template>
  <TotalTime>39</TotalTime>
  <Pages>6</Pages>
  <Words>1708</Words>
  <Characters>9657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2017 Annual Report</vt:lpstr>
    </vt:vector>
  </TitlesOfParts>
  <Manager/>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Annual Report</dc:title>
  <dc:subject>Annual legislative report for 2017</dc:subject>
  <dc:creator>Kody Olson</dc:creator>
  <cp:keywords>template, report</cp:keywords>
  <dc:description>Document template version 1.2, Released 4-2017</dc:description>
  <cp:lastModifiedBy>Chad Miller</cp:lastModifiedBy>
  <cp:revision>8</cp:revision>
  <cp:lastPrinted>2018-07-05T19:25:00Z</cp:lastPrinted>
  <dcterms:created xsi:type="dcterms:W3CDTF">2018-09-12T18:37:00Z</dcterms:created>
  <dcterms:modified xsi:type="dcterms:W3CDTF">2018-09-12T19:16:00Z</dcterms:modified>
  <cp:category>template</cp:category>
  <cp:contentStatus>active</cp:contentStatus>
</cp:coreProperties>
</file>